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山田さん・人民新聞弾圧裁判の争点</w:t>
      </w:r>
    </w:p>
    <w:p>
      <w:pPr>
        <w:pStyle w:val="Normal"/>
        <w:jc w:val="right"/>
        <w:rPr/>
      </w:pPr>
      <w:r>
        <w:rPr/>
        <w:t>２０１８年６月３０日</w:t>
      </w:r>
    </w:p>
    <w:p>
      <w:pPr>
        <w:pStyle w:val="Normal"/>
        <w:jc w:val="right"/>
        <w:rPr/>
      </w:pPr>
      <w:r>
        <w:rPr/>
        <w:t>山田さん弁護団弁護人：橋本太地</w:t>
      </w:r>
    </w:p>
    <w:p>
      <w:pPr>
        <w:pStyle w:val="Normal"/>
        <w:rPr/>
      </w:pPr>
      <w:r>
        <w:rPr/>
        <w:t>【争点】</w:t>
      </w:r>
    </w:p>
    <w:tbl>
      <w:tblPr>
        <w:tblStyle w:val="a3"/>
        <w:tblW w:w="13144" w:type="dxa"/>
        <w:jc w:val="left"/>
        <w:tblInd w:w="0" w:type="dxa"/>
        <w:tblCellMar>
          <w:top w:w="0" w:type="dxa"/>
          <w:left w:w="108" w:type="dxa"/>
          <w:bottom w:w="0" w:type="dxa"/>
          <w:right w:w="108" w:type="dxa"/>
        </w:tblCellMar>
        <w:tblLook w:firstRow="1" w:noVBand="1" w:lastRow="0" w:firstColumn="1" w:lastColumn="0" w:noHBand="0" w:val="04a0"/>
      </w:tblPr>
      <w:tblGrid>
        <w:gridCol w:w="3576"/>
        <w:gridCol w:w="4783"/>
        <w:gridCol w:w="4785"/>
      </w:tblGrid>
      <w:tr>
        <w:trPr/>
        <w:tc>
          <w:tcPr>
            <w:tcW w:w="3576" w:type="dxa"/>
            <w:tcBorders/>
            <w:shd w:fill="auto" w:val="clear"/>
            <w:tcMar>
              <w:left w:w="108" w:type="dxa"/>
            </w:tcMar>
          </w:tcPr>
          <w:p>
            <w:pPr>
              <w:pStyle w:val="Normal"/>
              <w:ind w:firstLine="2880"/>
              <w:rPr/>
            </w:pPr>
            <w:r>
              <w:rPr/>
              <w:t>主張　　　　　　　　　　　　　　　　　　　　　　　　　　　　　　争点</w:t>
            </w:r>
          </w:p>
        </w:tc>
        <w:tc>
          <w:tcPr>
            <w:tcW w:w="4783" w:type="dxa"/>
            <w:tcBorders/>
            <w:shd w:fill="auto" w:val="clear"/>
            <w:tcMar>
              <w:left w:w="108" w:type="dxa"/>
            </w:tcMar>
          </w:tcPr>
          <w:p>
            <w:pPr>
              <w:pStyle w:val="Normal"/>
              <w:jc w:val="center"/>
              <w:rPr/>
            </w:pPr>
            <w:r>
              <w:rPr/>
              <w:t>検察官の主張</w:t>
            </w:r>
          </w:p>
        </w:tc>
        <w:tc>
          <w:tcPr>
            <w:tcW w:w="4785" w:type="dxa"/>
            <w:tcBorders/>
            <w:shd w:fill="auto" w:val="clear"/>
            <w:tcMar>
              <w:left w:w="108" w:type="dxa"/>
            </w:tcMar>
          </w:tcPr>
          <w:p>
            <w:pPr>
              <w:pStyle w:val="Normal"/>
              <w:jc w:val="center"/>
              <w:rPr/>
            </w:pPr>
            <w:r>
              <w:rPr/>
              <w:t>弁護人の主張</w:t>
            </w:r>
          </w:p>
        </w:tc>
      </w:tr>
      <w:tr>
        <w:trPr/>
        <w:tc>
          <w:tcPr>
            <w:tcW w:w="3576" w:type="dxa"/>
            <w:tcBorders/>
            <w:shd w:fill="auto" w:val="clear"/>
            <w:tcMar>
              <w:left w:w="108" w:type="dxa"/>
            </w:tcMar>
          </w:tcPr>
          <w:p>
            <w:pPr>
              <w:pStyle w:val="Normal"/>
              <w:rPr/>
            </w:pPr>
            <w:r>
              <w:rPr/>
              <w:t>口座開設行為等は詐欺に</w:t>
            </w:r>
          </w:p>
          <w:p>
            <w:pPr>
              <w:pStyle w:val="Normal"/>
              <w:rPr/>
            </w:pPr>
            <w:r>
              <w:rPr/>
              <w:t>当たるか</w:t>
            </w:r>
          </w:p>
        </w:tc>
        <w:tc>
          <w:tcPr>
            <w:tcW w:w="4783" w:type="dxa"/>
            <w:tcBorders/>
            <w:shd w:fill="auto" w:val="clear"/>
            <w:tcMar>
              <w:left w:w="108" w:type="dxa"/>
            </w:tcMar>
          </w:tcPr>
          <w:p>
            <w:pPr>
              <w:pStyle w:val="Normal"/>
              <w:rPr/>
            </w:pPr>
            <w:r>
              <w:rPr/>
              <w:t>規約ではキャッシュカードを第三者に使用させることが禁止されているところ，山田さんは，規約に反し，レバノン在住の岡本さん支援者にキャッシュカードを渡して出金させていたのであり，これを秘してした口座開設行為等は詐欺に当たる。</w:t>
            </w:r>
          </w:p>
        </w:tc>
        <w:tc>
          <w:tcPr>
            <w:tcW w:w="4785" w:type="dxa"/>
            <w:tcBorders/>
            <w:shd w:fill="auto" w:val="clear"/>
            <w:tcMar>
              <w:left w:w="108" w:type="dxa"/>
            </w:tcMar>
          </w:tcPr>
          <w:p>
            <w:pPr>
              <w:pStyle w:val="Normal"/>
              <w:rPr/>
            </w:pPr>
            <w:r>
              <w:rPr/>
              <w:t>山田さんはキャッシュカードに係るパスフレーズを自ら変更してきたのであり，第三者の自由にはできなかったのであって，山田さんは自らそれを管理し，利用してきたから，口座開設行為等は詐欺に当たらない。</w:t>
            </w:r>
          </w:p>
        </w:tc>
      </w:tr>
      <w:tr>
        <w:trPr/>
        <w:tc>
          <w:tcPr>
            <w:tcW w:w="3576" w:type="dxa"/>
            <w:tcBorders/>
            <w:shd w:fill="auto" w:val="clear"/>
            <w:tcMar>
              <w:left w:w="108" w:type="dxa"/>
            </w:tcMar>
          </w:tcPr>
          <w:p>
            <w:pPr>
              <w:pStyle w:val="Normal"/>
              <w:rPr/>
            </w:pPr>
            <w:r>
              <w:rPr/>
              <w:t>レバノンにいる岡本さんの</w:t>
            </w:r>
          </w:p>
          <w:p>
            <w:pPr>
              <w:pStyle w:val="Normal"/>
              <w:rPr/>
            </w:pPr>
            <w:r>
              <w:rPr/>
              <w:t>支援者は第三者か</w:t>
            </w:r>
          </w:p>
        </w:tc>
        <w:tc>
          <w:tcPr>
            <w:tcW w:w="4783" w:type="dxa"/>
            <w:tcBorders/>
            <w:shd w:fill="auto" w:val="clear"/>
            <w:tcMar>
              <w:left w:w="108" w:type="dxa"/>
            </w:tcMar>
          </w:tcPr>
          <w:p>
            <w:pPr>
              <w:pStyle w:val="Normal"/>
              <w:rPr/>
            </w:pPr>
            <w:r>
              <w:rPr/>
              <w:t>キャッシュカードはレバノン在住の岡本さん支援者に利用させており，山田さん自身は利用していないから，山田さんが自ら管理をしていたとは言えない。</w:t>
            </w:r>
          </w:p>
        </w:tc>
        <w:tc>
          <w:tcPr>
            <w:tcW w:w="4785" w:type="dxa"/>
            <w:tcBorders/>
            <w:shd w:fill="auto" w:val="clear"/>
            <w:tcMar>
              <w:left w:w="108" w:type="dxa"/>
            </w:tcMar>
          </w:tcPr>
          <w:p>
            <w:pPr>
              <w:pStyle w:val="Normal"/>
              <w:rPr/>
            </w:pPr>
            <w:r>
              <w:rPr/>
              <w:t>山田さんの指示に従いキャッシュカードを使用するのみでキャッシュカードを自由に利用出来る存在ではなく，自らの代理人または使者に過ぎないから，第三者ではない。</w:t>
            </w:r>
          </w:p>
        </w:tc>
      </w:tr>
      <w:tr>
        <w:trPr/>
        <w:tc>
          <w:tcPr>
            <w:tcW w:w="3576" w:type="dxa"/>
            <w:tcBorders/>
            <w:shd w:fill="auto" w:val="clear"/>
            <w:tcMar>
              <w:left w:w="108" w:type="dxa"/>
            </w:tcMar>
          </w:tcPr>
          <w:p>
            <w:pPr>
              <w:pStyle w:val="Normal"/>
              <w:rPr/>
            </w:pPr>
            <w:r>
              <w:rPr/>
              <w:t>規約の趣旨</w:t>
            </w:r>
          </w:p>
        </w:tc>
        <w:tc>
          <w:tcPr>
            <w:tcW w:w="4783" w:type="dxa"/>
            <w:tcBorders/>
            <w:shd w:fill="auto" w:val="clear"/>
            <w:tcMar>
              <w:left w:w="108" w:type="dxa"/>
            </w:tcMar>
          </w:tcPr>
          <w:p>
            <w:pPr>
              <w:pStyle w:val="Normal"/>
              <w:rPr/>
            </w:pPr>
            <w:r>
              <w:rPr/>
              <w:t>キャッシュカードが犯罪等に悪用されることを防止するために厳格な本人確認の手続により身元を把握していない者が口座等を利用することを禁止する趣旨。</w:t>
            </w:r>
          </w:p>
        </w:tc>
        <w:tc>
          <w:tcPr>
            <w:tcW w:w="4785" w:type="dxa"/>
            <w:tcBorders/>
            <w:shd w:fill="auto" w:val="clear"/>
            <w:tcMar>
              <w:left w:w="108" w:type="dxa"/>
            </w:tcMar>
          </w:tcPr>
          <w:p>
            <w:pPr>
              <w:pStyle w:val="Normal"/>
              <w:rPr/>
            </w:pPr>
            <w:r>
              <w:rPr/>
              <w:t>検察官主張の通りであるところ，山田さんの使用方法はキャッシュカードが犯罪等に悪用される可能性はなく，かつ，悪用されることもなかったのであるから，この趣旨は及ばない。</w:t>
            </w:r>
          </w:p>
        </w:tc>
      </w:tr>
      <w:tr>
        <w:trPr/>
        <w:tc>
          <w:tcPr>
            <w:tcW w:w="3576" w:type="dxa"/>
            <w:tcBorders/>
            <w:shd w:fill="auto" w:val="clear"/>
            <w:tcMar>
              <w:left w:w="108" w:type="dxa"/>
            </w:tcMar>
          </w:tcPr>
          <w:p>
            <w:pPr>
              <w:pStyle w:val="Normal"/>
              <w:rPr/>
            </w:pPr>
            <w:r>
              <w:rPr/>
              <w:t>山田さんに詐欺の故意が</w:t>
            </w:r>
          </w:p>
          <w:p>
            <w:pPr>
              <w:pStyle w:val="Normal"/>
              <w:rPr/>
            </w:pPr>
            <w:r>
              <w:rPr/>
              <w:t>認められるか</w:t>
            </w:r>
          </w:p>
        </w:tc>
        <w:tc>
          <w:tcPr>
            <w:tcW w:w="4783" w:type="dxa"/>
            <w:tcBorders/>
            <w:shd w:fill="auto" w:val="clear"/>
            <w:tcMar>
              <w:left w:w="108" w:type="dxa"/>
            </w:tcMar>
          </w:tcPr>
          <w:p>
            <w:pPr>
              <w:pStyle w:val="Normal"/>
              <w:rPr/>
            </w:pPr>
            <w:r>
              <w:rPr/>
              <w:t>口座開設には規約を事前に確認し承認しなければ申込手続を行うことが出来ないところ，山田さんは申込書を完成させ口座開設手続を行っていること，事後にコールセンター担当者に虚偽の事実を申し向けていることから，故意が認められる。</w:t>
            </w:r>
          </w:p>
        </w:tc>
        <w:tc>
          <w:tcPr>
            <w:tcW w:w="4785" w:type="dxa"/>
            <w:tcBorders/>
            <w:shd w:fill="auto" w:val="clear"/>
            <w:tcMar>
              <w:left w:w="108" w:type="dxa"/>
            </w:tcMar>
          </w:tcPr>
          <w:p>
            <w:pPr>
              <w:pStyle w:val="Normal"/>
              <w:rPr/>
            </w:pPr>
            <w:r>
              <w:rPr/>
              <w:t>客観的に詐欺行為を行っておらず，よって当然詐欺の故意もない。</w:t>
            </w:r>
          </w:p>
        </w:tc>
      </w:tr>
      <w:tr>
        <w:trPr/>
        <w:tc>
          <w:tcPr>
            <w:tcW w:w="3576" w:type="dxa"/>
            <w:tcBorders/>
            <w:shd w:fill="auto" w:val="clear"/>
            <w:tcMar>
              <w:left w:w="108" w:type="dxa"/>
            </w:tcMar>
          </w:tcPr>
          <w:p>
            <w:pPr>
              <w:pStyle w:val="Normal"/>
              <w:rPr/>
            </w:pPr>
            <w:r>
              <w:rPr/>
              <w:t>コールセンター担当者が，山田さんから親戚がキャッシュカードを使用していることを聞いても何も言わなかったことの意味</w:t>
            </w:r>
          </w:p>
        </w:tc>
        <w:tc>
          <w:tcPr>
            <w:tcW w:w="4783" w:type="dxa"/>
            <w:tcBorders/>
            <w:shd w:fill="auto" w:val="clear"/>
            <w:tcMar>
              <w:left w:w="108" w:type="dxa"/>
            </w:tcMar>
          </w:tcPr>
          <w:p>
            <w:pPr>
              <w:pStyle w:val="Normal"/>
              <w:rPr/>
            </w:pPr>
            <w:r>
              <w:rPr/>
              <w:t>山田さんの電話の趣旨はキャッシュカードを使わずに本件口座へ入金する方法であって，親戚にキャッシュカードを渡して出金させることの可否を確認するものではないから，担当者が何らの回答をしなかったからと言って，山田さんの行為を許容したものと評価することはできない。</w:t>
            </w:r>
          </w:p>
        </w:tc>
        <w:tc>
          <w:tcPr>
            <w:tcW w:w="4785" w:type="dxa"/>
            <w:tcBorders/>
            <w:shd w:fill="auto" w:val="clear"/>
            <w:tcMar>
              <w:left w:w="108" w:type="dxa"/>
            </w:tcMar>
          </w:tcPr>
          <w:p>
            <w:pPr>
              <w:pStyle w:val="Normal"/>
              <w:rPr/>
            </w:pPr>
            <w:r>
              <w:rPr/>
              <w:t>キャッシュカードを実際に使用するのが本人でなく代理人　または使者であるというのは，現実の社会ではよくあることであるから，少なくとも当時の新生銀行においては重要な事項ではなかったと言え，また，山田さんの行為は犯罪であるとする検察官の主張と矛盾する。</w:t>
            </w:r>
          </w:p>
        </w:tc>
      </w:tr>
      <w:tr>
        <w:trPr/>
        <w:tc>
          <w:tcPr>
            <w:tcW w:w="3576" w:type="dxa"/>
            <w:tcBorders/>
            <w:shd w:fill="auto" w:val="clear"/>
            <w:tcMar>
              <w:left w:w="108" w:type="dxa"/>
            </w:tcMar>
          </w:tcPr>
          <w:p>
            <w:pPr>
              <w:pStyle w:val="Normal"/>
              <w:rPr/>
            </w:pPr>
            <w:r>
              <w:rPr/>
              <w:t>情状</w:t>
            </w:r>
          </w:p>
        </w:tc>
        <w:tc>
          <w:tcPr>
            <w:tcW w:w="4783" w:type="dxa"/>
            <w:tcBorders/>
            <w:shd w:fill="auto" w:val="clear"/>
            <w:tcMar>
              <w:left w:w="108" w:type="dxa"/>
            </w:tcMar>
          </w:tcPr>
          <w:p>
            <w:pPr>
              <w:pStyle w:val="Normal"/>
              <w:rPr/>
            </w:pPr>
            <w:r>
              <w:rPr/>
              <w:t>経緯等に酌むべき事情なし，複数回騙しており悪質，口座悪用事例から一般予防</w:t>
            </w:r>
          </w:p>
        </w:tc>
        <w:tc>
          <w:tcPr>
            <w:tcW w:w="4785" w:type="dxa"/>
            <w:tcBorders/>
            <w:shd w:fill="auto" w:val="clear"/>
            <w:tcMar>
              <w:left w:w="108" w:type="dxa"/>
            </w:tcMar>
          </w:tcPr>
          <w:p>
            <w:pPr>
              <w:pStyle w:val="Normal"/>
              <w:rPr/>
            </w:pPr>
            <w:r>
              <w:rPr/>
              <w:t>山田さんは無罪であるから主張せず。</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【解説】</w:t>
      </w:r>
    </w:p>
    <w:p>
      <w:pPr>
        <w:pStyle w:val="Normal"/>
        <w:rPr/>
      </w:pPr>
      <w:r>
        <w:rPr/>
        <w:t>〔刑法〕</w:t>
      </w:r>
    </w:p>
    <w:p>
      <w:pPr>
        <w:pStyle w:val="Normal"/>
        <w:rPr/>
      </w:pPr>
      <w:r>
        <w:rPr/>
        <w:t>第２４６条</w:t>
      </w:r>
    </w:p>
    <w:p>
      <w:pPr>
        <w:pStyle w:val="Normal"/>
        <w:rPr/>
      </w:pPr>
      <w:r>
        <w:rPr/>
        <w:t>１　人を欺いて財物を交付させた者は、１０年以下の懲役に処する。</w:t>
      </w:r>
    </w:p>
    <w:p>
      <w:pPr>
        <w:pStyle w:val="Normal"/>
        <w:rPr/>
      </w:pPr>
      <w:r>
        <w:rPr/>
        <w:t>２　前項の方法により、財産上不法の利益を得、又は他人にこれを得させた者も、同項と同様とする。</w:t>
      </w:r>
    </w:p>
    <w:p>
      <w:pPr>
        <w:pStyle w:val="Normal"/>
        <w:rPr/>
      </w:pPr>
      <w:r>
        <w:rPr/>
      </w:r>
    </w:p>
    <w:p>
      <w:pPr>
        <w:pStyle w:val="Normal"/>
        <w:rPr/>
      </w:pPr>
      <w:r>
        <w:rPr/>
        <w:t>◎</w:t>
      </w:r>
      <w:r>
        <w:rPr>
          <w:b/>
        </w:rPr>
        <w:t>詐欺行為→錯誤→交付行為，という因果関係が必要</w:t>
      </w:r>
      <w:r>
        <w:rPr/>
        <w:t>。被害者が詐欺だと気付いたら未遂に留まる。</w:t>
      </w:r>
    </w:p>
    <w:p>
      <w:pPr>
        <w:pStyle w:val="Normal"/>
        <w:rPr/>
      </w:pPr>
      <w:r>
        <w:rPr/>
        <w:t>◎</w:t>
      </w:r>
      <w:r>
        <w:rPr/>
        <w:t>「</w:t>
      </w:r>
      <w:r>
        <w:rPr>
          <w:b/>
        </w:rPr>
        <w:t>本当のことを知っていれば交付しなかった</w:t>
      </w:r>
      <w:r>
        <w:rPr/>
        <w:t>」と言える場合に詐欺罪が成立する（判例・通説）。</w:t>
      </w:r>
    </w:p>
    <w:p>
      <w:pPr>
        <w:pStyle w:val="Normal"/>
        <w:rPr/>
      </w:pPr>
      <w:r>
        <w:rPr/>
        <w:t xml:space="preserve">  </w:t>
      </w:r>
      <w:r>
        <w:rPr/>
        <w:t>批判：処罰範囲が広すぎる。</w:t>
      </w:r>
    </w:p>
    <w:p>
      <w:pPr>
        <w:pStyle w:val="Normal"/>
        <w:rPr/>
      </w:pPr>
      <w:r>
        <w:rPr/>
        <w:t>　　　　例：「阪神ファン生ビール無料」の居酒屋に巨人ファンが行って，阪神ファンを名乗りサービスを受けた場合。</w:t>
      </w:r>
    </w:p>
    <w:p>
      <w:pPr>
        <w:pStyle w:val="Normal"/>
        <w:rPr/>
      </w:pPr>
      <w:r>
        <w:rPr/>
      </w:r>
    </w:p>
    <w:p>
      <w:pPr>
        <w:pStyle w:val="Normal"/>
        <w:rPr/>
      </w:pPr>
      <w:r>
        <w:rPr/>
        <w:t>◎</w:t>
      </w:r>
      <w:r>
        <w:rPr/>
        <w:t>参考判例１</w:t>
      </w:r>
    </w:p>
    <w:p>
      <w:pPr>
        <w:pStyle w:val="Normal"/>
        <w:rPr/>
      </w:pPr>
      <w:r>
        <w:rPr/>
        <w:t>　最高裁平成１４年１０月２１日最高裁判所刑事判例集５６巻８号６７０頁</w:t>
      </w:r>
    </w:p>
    <w:p>
      <w:pPr>
        <w:pStyle w:val="Normal"/>
        <w:rPr/>
      </w:pPr>
      <w:r>
        <w:rPr/>
        <w:t>　</w:t>
      </w:r>
      <w:r>
        <w:rPr>
          <w:b/>
        </w:rPr>
        <w:t>預金通帳は</w:t>
      </w:r>
      <w:r>
        <w:rPr/>
        <w:t>，それ自体として所有権の対象となり得るものであるにとどまらず，これを利用して預金の預入れ，払戻しを受けられるなどの</w:t>
      </w:r>
      <w:r>
        <w:rPr>
          <w:b/>
        </w:rPr>
        <w:t>財産的な価値を有するものと認められるか</w:t>
      </w:r>
      <w:r>
        <w:rPr/>
        <w:t>ら，他人名義で預金口座を開設し，それに伴って銀行から交付される場合であっても，</w:t>
      </w:r>
      <w:r>
        <w:rPr>
          <w:b/>
        </w:rPr>
        <w:t>刑法２４６条１項の財物に当たる</w:t>
      </w:r>
      <w:r>
        <w:rPr/>
        <w:t>と解するのが相当である（</w:t>
      </w:r>
      <w:r>
        <w:rPr>
          <w:u w:val="single"/>
        </w:rPr>
        <w:t>原審である福岡高裁は財物性を否定</w:t>
      </w:r>
      <w:r>
        <w:rPr/>
        <w:t>）。</w:t>
      </w:r>
    </w:p>
    <w:p>
      <w:pPr>
        <w:pStyle w:val="Normal"/>
        <w:rPr/>
      </w:pPr>
      <w:r>
        <w:rPr/>
      </w:r>
    </w:p>
    <w:p>
      <w:pPr>
        <w:pStyle w:val="Normal"/>
        <w:rPr/>
      </w:pPr>
      <w:r>
        <w:rPr/>
        <w:t>◎</w:t>
      </w:r>
      <w:r>
        <w:rPr/>
        <w:t>参考判例２</w:t>
      </w:r>
    </w:p>
    <w:p>
      <w:pPr>
        <w:pStyle w:val="Normal"/>
        <w:rPr/>
      </w:pPr>
      <w:r>
        <w:rPr/>
        <w:t>　最高裁平成１９年７月１７日決定最高裁判所刑事判例集６１巻５号５２１頁</w:t>
      </w:r>
    </w:p>
    <w:p>
      <w:pPr>
        <w:pStyle w:val="Normal"/>
        <w:ind w:firstLine="240"/>
        <w:rPr/>
      </w:pPr>
      <w:r>
        <w:rPr/>
        <w:t>預金通帳等を</w:t>
      </w:r>
      <w:r>
        <w:rPr>
          <w:b/>
        </w:rPr>
        <w:t>第三者に譲渡する意図であるのに，これを秘して</w:t>
      </w:r>
      <w:r>
        <w:rPr/>
        <w:t>銀行の行員に自己名義の預金口座の開設等を申し込み，預金通帳等の交付を受ける行為は，刑法２４６条１項の詐欺罪に当たる。</w:t>
      </w:r>
    </w:p>
    <w:p>
      <w:pPr>
        <w:pStyle w:val="Normal"/>
        <w:rPr/>
      </w:pPr>
      <w:r>
        <w:rPr/>
        <w:t>◎</w:t>
      </w:r>
      <w:r>
        <w:rPr/>
        <w:t>裁判所の背景には，</w:t>
      </w:r>
      <w:r>
        <w:rPr>
          <w:b/>
        </w:rPr>
        <w:t>振り込め詐欺やマネーロンダリングに銀行口座が利用されている現状</w:t>
      </w:r>
      <w:r>
        <w:rPr/>
        <w:t>がある。</w:t>
      </w:r>
    </w:p>
    <w:p>
      <w:pPr>
        <w:pStyle w:val="Normal"/>
        <w:rPr/>
      </w:pPr>
      <w:r>
        <w:rPr/>
        <w:t>　→山田さんの使用方法は関係ないはず。</w:t>
      </w:r>
    </w:p>
    <w:p>
      <w:pPr>
        <w:pStyle w:val="Normal"/>
        <w:rPr/>
      </w:pPr>
      <w:r>
        <w:rPr/>
        <w:t>　　※詐欺の</w:t>
      </w:r>
      <w:r>
        <w:rPr>
          <w:b/>
        </w:rPr>
        <w:t>手段とされる行為を詐欺として処罰</w:t>
      </w:r>
      <w:r>
        <w:rPr/>
        <w:t>＝</w:t>
      </w:r>
      <w:r>
        <w:rPr>
          <w:b/>
        </w:rPr>
        <w:t>処罰の早期化</w:t>
      </w:r>
      <w:r>
        <w:rPr/>
        <w:t>＝</w:t>
      </w:r>
      <w:r>
        <w:rPr>
          <w:b/>
          <w:u w:val="double"/>
        </w:rPr>
        <w:t>共謀罪と発想は同じ！</w:t>
      </w:r>
    </w:p>
    <w:p>
      <w:pPr>
        <w:pStyle w:val="Normal"/>
        <w:rPr/>
      </w:pPr>
      <w:r>
        <w:rPr/>
      </w:r>
    </w:p>
    <w:p>
      <w:pPr>
        <w:pStyle w:val="Normal"/>
        <w:rPr/>
      </w:pPr>
      <w:r>
        <w:rPr/>
        <w:t>◎</w:t>
      </w:r>
      <w:r>
        <w:rPr>
          <w:b/>
        </w:rPr>
        <w:t>本人の手を離れて，第三者が自由に利用できる状態</w:t>
      </w:r>
      <w:r>
        <w:rPr/>
        <w:t>にされていた場合なら，確かに問題かもしれない。</w:t>
      </w:r>
    </w:p>
    <w:p>
      <w:pPr>
        <w:pStyle w:val="Normal"/>
        <w:rPr/>
      </w:pPr>
      <w:r>
        <w:rPr/>
        <w:t>　→山田さんは自らパスフレーズを管理し，レバノン在住の岡本さん支援者は山田さんの指示なしには出金していなかった。</w:t>
      </w:r>
    </w:p>
    <w:p>
      <w:pPr>
        <w:pStyle w:val="Normal"/>
        <w:rPr/>
      </w:pPr>
      <w:r>
        <w:rPr/>
      </w:r>
    </w:p>
    <w:p>
      <w:pPr>
        <w:pStyle w:val="Normal"/>
        <w:rPr/>
      </w:pPr>
      <w:r>
        <w:rPr/>
        <w:t>〔刑事訴訟法〕</w:t>
      </w:r>
    </w:p>
    <w:p>
      <w:pPr>
        <w:pStyle w:val="Normal"/>
        <w:rPr/>
      </w:pPr>
      <w:r>
        <w:rPr/>
        <w:t>第２４８条</w:t>
      </w:r>
    </w:p>
    <w:p>
      <w:pPr>
        <w:pStyle w:val="Normal"/>
        <w:rPr/>
      </w:pPr>
      <w:r>
        <w:rPr/>
        <w:t>　犯人の性格、年齢及び境遇、犯罪の軽重及び情状並びに犯罪後の情況により訴追を必要としないときは、公訴を提起しないことができる。</w:t>
      </w:r>
    </w:p>
    <w:p>
      <w:pPr>
        <w:pStyle w:val="Normal"/>
        <w:rPr/>
      </w:pPr>
      <w:r>
        <w:rPr/>
      </w:r>
    </w:p>
    <w:p>
      <w:pPr>
        <w:pStyle w:val="Normal"/>
        <w:rPr/>
      </w:pPr>
      <w:r>
        <w:rPr/>
        <w:t>◎</w:t>
      </w:r>
      <w:r>
        <w:rPr>
          <w:b/>
        </w:rPr>
        <w:t>起訴するか起訴しないかは検察官の裁量に委ねられている</w:t>
      </w:r>
      <w:r>
        <w:rPr/>
        <w:t>。</w:t>
      </w:r>
    </w:p>
    <w:p>
      <w:pPr>
        <w:pStyle w:val="Normal"/>
        <w:rPr/>
      </w:pPr>
      <w:bookmarkStart w:id="0" w:name="_GoBack"/>
      <w:bookmarkEnd w:id="0"/>
      <w:r>
        <w:rPr/>
        <w:t>　例：籠池夫妻起訴⇔佐川不起訴</w:t>
      </w:r>
    </w:p>
    <w:p>
      <w:pPr>
        <w:pStyle w:val="Normal"/>
        <w:rPr/>
      </w:pPr>
      <w:r>
        <w:rPr/>
      </w:r>
    </w:p>
    <w:p>
      <w:pPr>
        <w:pStyle w:val="Normal"/>
        <w:rPr/>
      </w:pPr>
      <w:r>
        <w:rPr/>
        <w:t>◎</w:t>
      </w:r>
      <w:r>
        <w:rPr>
          <w:b/>
        </w:rPr>
        <w:t>逮捕勾留後不起訴も多い</w:t>
      </w:r>
      <w:r>
        <w:rPr/>
        <w:t>。</w:t>
      </w:r>
    </w:p>
    <w:p>
      <w:pPr>
        <w:pStyle w:val="Normal"/>
        <w:rPr/>
      </w:pPr>
      <w:r>
        <w:rPr/>
        <w:t>　しかし，世間は</w:t>
      </w:r>
      <w:r>
        <w:rPr>
          <w:b/>
        </w:rPr>
        <w:t>逮捕＝犯罪者</w:t>
      </w:r>
      <w:r>
        <w:rPr/>
        <w:t>という認識</w:t>
      </w:r>
    </w:p>
    <w:p>
      <w:pPr>
        <w:pStyle w:val="Normal"/>
        <w:rPr/>
      </w:pPr>
      <w:r>
        <w:rPr/>
        <w:t>　→</w:t>
      </w:r>
      <w:r>
        <w:rPr>
          <w:b/>
          <w:u w:val="double"/>
        </w:rPr>
        <w:t>起訴するつもりのない逮捕によって犯罪者というラベルを貼られるおそれ</w:t>
      </w:r>
    </w:p>
    <w:p>
      <w:pPr>
        <w:pStyle w:val="Normal"/>
        <w:rPr/>
      </w:pPr>
      <w:r>
        <w:rPr/>
        <w:t>　　例：</w:t>
      </w:r>
      <w:r>
        <w:rPr/>
        <w:t>RADWIMPS</w:t>
      </w:r>
      <w:r>
        <w:rPr/>
        <w:t>抗議デモでの不当逮捕</w:t>
      </w:r>
    </w:p>
    <w:p>
      <w:pPr>
        <w:pStyle w:val="Normal"/>
        <w:rPr/>
      </w:pPr>
      <w:r>
        <w:rPr/>
      </w:r>
    </w:p>
    <w:p>
      <w:pPr>
        <w:pStyle w:val="Normal"/>
        <w:rPr/>
      </w:pPr>
      <w:r>
        <w:rPr/>
        <w:t>◎</w:t>
      </w:r>
      <w:r>
        <w:rPr>
          <w:b/>
        </w:rPr>
        <w:t>公訴権濫用論を裁判所は事実上否定</w:t>
      </w:r>
      <w:r>
        <w:rPr/>
        <w:t>（最高裁昭和５５年１２月１７日最高裁判所刑事判例集３４巻７号６７２頁）</w:t>
      </w:r>
    </w:p>
    <w:sectPr>
      <w:footerReference w:type="default" r:id="rId2"/>
      <w:type w:val="nextPage"/>
      <w:pgSz w:orient="landscape" w:w="16838" w:h="11906"/>
      <w:pgMar w:left="1985" w:right="1701" w:header="0" w:top="1701" w:footer="992" w:bottom="1701" w:gutter="0"/>
      <w:pgNumType w:fmt="decimal"/>
      <w:formProt w:val="false"/>
      <w:textDirection w:val="lrTb"/>
      <w:docGrid w:type="lines"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Yu Mincho">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0054384"/>
    </w:sdtPr>
    <w:sdtContent>
      <w:p>
        <w:pPr>
          <w:pStyle w:val="Style20"/>
          <w:rPr/>
        </w:pPr>
        <w:r>
          <w:rPr>
            <w:rStyle w:val="Pagenumber"/>
          </w:rPr>
          <w:fldChar w:fldCharType="begin"/>
        </w:r>
        <w:r>
          <w:instrText> PAGE </w:instrText>
        </w:r>
        <w:r>
          <w:fldChar w:fldCharType="separate"/>
        </w:r>
        <w:r>
          <w:t>5</w:t>
        </w:r>
        <w:r>
          <w:fldChar w:fldCharType="end"/>
        </w:r>
      </w:p>
    </w:sdtContent>
  </w:sdt>
  <w:p>
    <w:pPr>
      <w:pStyle w:val="Style20"/>
      <w:rPr/>
    </w:pPr>
    <w:r>
      <w:rPr/>
    </w:r>
  </w:p>
</w:ftr>
</file>

<file path=word/settings.xml><?xml version="1.0" encoding="utf-8"?>
<w:settings xmlns:w="http://schemas.openxmlformats.org/wordprocessingml/2006/main">
  <w:zoom w:percent="229"/>
  <w:defaultTabStop w:val="9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Yu Mincho" w:hAnsi="Yu Mincho" w:eastAsia="Yu Mincho" w:cs="" w:asciiTheme="minorHAnsi" w:cstheme="minorBidi" w:eastAsiaTheme="minorEastAsia" w:hAnsiTheme="minorHAnsi"/>
        <w:sz w:val="24"/>
        <w:szCs w:val="24"/>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val="false"/>
      <w:bidi w:val="0"/>
      <w:jc w:val="both"/>
    </w:pPr>
    <w:rPr>
      <w:rFonts w:ascii="Yu Mincho" w:hAnsi="Yu Mincho" w:eastAsia="Yu Mincho" w:cs="" w:asciiTheme="minorHAnsi" w:cstheme="minorBidi" w:eastAsiaTheme="minorEastAsia" w:hAnsiTheme="minorHAnsi"/>
      <w:color w:val="auto"/>
      <w:sz w:val="24"/>
      <w:szCs w:val="24"/>
      <w:lang w:val="en-US" w:eastAsia="ja-JP" w:bidi="ar-SA"/>
    </w:rPr>
  </w:style>
  <w:style w:type="character" w:styleId="DefaultParagraphFont" w:default="1">
    <w:name w:val="Default Paragraph Font"/>
    <w:uiPriority w:val="1"/>
    <w:unhideWhenUsed/>
    <w:qFormat/>
    <w:rPr/>
  </w:style>
  <w:style w:type="character" w:styleId="Style14" w:customStyle="1">
    <w:name w:val="フッター (文字)"/>
    <w:basedOn w:val="DefaultParagraphFont"/>
    <w:link w:val="a4"/>
    <w:uiPriority w:val="99"/>
    <w:qFormat/>
    <w:rsid w:val="00b9445f"/>
    <w:rPr/>
  </w:style>
  <w:style w:type="character" w:styleId="Pagenumber">
    <w:name w:val="page number"/>
    <w:basedOn w:val="DefaultParagraphFont"/>
    <w:uiPriority w:val="99"/>
    <w:semiHidden/>
    <w:unhideWhenUsed/>
    <w:qFormat/>
    <w:rsid w:val="00b9445f"/>
    <w:rPr/>
  </w:style>
  <w:style w:type="paragraph" w:styleId="Style15">
    <w:name w:val="見出し"/>
    <w:basedOn w:val="Normal"/>
    <w:next w:val="Style16"/>
    <w:qFormat/>
    <w:pPr>
      <w:keepNext/>
      <w:spacing w:before="240" w:after="120"/>
    </w:pPr>
    <w:rPr>
      <w:rFonts w:ascii="Liberation Sans" w:hAnsi="Liberation Sans" w:eastAsia="ＭＳ Ｐゴシック" w:cs="Mangal"/>
      <w:sz w:val="28"/>
      <w:szCs w:val="28"/>
    </w:rPr>
  </w:style>
  <w:style w:type="paragraph" w:styleId="Style16">
    <w:name w:val="本文"/>
    <w:basedOn w:val="Normal"/>
    <w:pPr>
      <w:spacing w:lineRule="auto" w:line="288" w:before="0" w:after="140"/>
    </w:pPr>
    <w:rPr/>
  </w:style>
  <w:style w:type="paragraph" w:styleId="Style17">
    <w:name w:val="リスト"/>
    <w:basedOn w:val="Style16"/>
    <w:pPr/>
    <w:rPr>
      <w:rFonts w:cs="Mangal"/>
    </w:rPr>
  </w:style>
  <w:style w:type="paragraph" w:styleId="Style18">
    <w:name w:val="キャプション"/>
    <w:basedOn w:val="Normal"/>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Style20">
    <w:name w:val="フッター"/>
    <w:basedOn w:val="Normal"/>
    <w:link w:val="a5"/>
    <w:uiPriority w:val="99"/>
    <w:unhideWhenUsed/>
    <w:rsid w:val="00b9445f"/>
    <w:pPr>
      <w:tabs>
        <w:tab w:val="center" w:pos="4252" w:leader="none"/>
        <w:tab w:val="right" w:pos="8504" w:leader="none"/>
      </w:tabs>
      <w:snapToGrid w:val="false"/>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a42d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Application>LibreOffice/5.0.3.2$Windows_x86 LibreOffice_project/e5f16313668ac592c1bfb310f4390624e3dbfb75</Application>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2018-06-28T04:42:00Z</dcterms:created>
  <dc:creator>橋本太地</dc:creator>
  <dc:language>ja-JP</dc:language>
  <cp:lastPrinted>2018-06-30T13:13:15Z</cp:lastPrinted>
  <dcterms:modified xsi:type="dcterms:W3CDTF">2018-06-30T14:04:28Z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